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1A359" w14:textId="77777777" w:rsidR="00687EC7" w:rsidRPr="00BA7999" w:rsidRDefault="00EA0376">
      <w:pPr>
        <w:spacing w:after="40" w:line="300" w:lineRule="auto"/>
        <w:jc w:val="center"/>
      </w:pPr>
      <w:r w:rsidRPr="00BA7999">
        <w:rPr>
          <w:rFonts w:ascii="Cambria" w:eastAsia="Cambria" w:hAnsi="Cambria" w:cs="Cambria"/>
          <w:b/>
          <w:bCs/>
        </w:rPr>
        <w:t>GOVERNMENT OF PAKISTAN</w:t>
      </w:r>
    </w:p>
    <w:p w14:paraId="6D54787A" w14:textId="77777777" w:rsidR="00687EC7" w:rsidRPr="00BA7999" w:rsidRDefault="00EA0376">
      <w:pPr>
        <w:spacing w:after="40" w:line="300" w:lineRule="auto"/>
        <w:jc w:val="center"/>
      </w:pPr>
      <w:r w:rsidRPr="00BA7999">
        <w:rPr>
          <w:rFonts w:ascii="Cambria" w:eastAsia="Cambria" w:hAnsi="Cambria" w:cs="Cambria"/>
          <w:b/>
          <w:bCs/>
        </w:rPr>
        <w:t>MINISTRY OF ENERGY (POWER DIVISION)</w:t>
      </w:r>
    </w:p>
    <w:p w14:paraId="5C9ED6C8" w14:textId="77777777" w:rsidR="00687EC7" w:rsidRPr="00BA7999" w:rsidRDefault="00EA0376">
      <w:pPr>
        <w:spacing w:after="300" w:line="300" w:lineRule="auto"/>
        <w:jc w:val="center"/>
      </w:pPr>
      <w:r w:rsidRPr="00BA7999">
        <w:rPr>
          <w:rFonts w:ascii="Cambria" w:eastAsia="Cambria" w:hAnsi="Cambria" w:cs="Cambria"/>
          <w:b/>
          <w:bCs/>
        </w:rPr>
        <w:t>Project Implementation Unit — Electricity Distribution Efficiency Improvement Project (EDEIP)</w:t>
      </w:r>
    </w:p>
    <w:p w14:paraId="54A2973D" w14:textId="77777777" w:rsidR="00687EC7" w:rsidRPr="00BA7999" w:rsidRDefault="00EA0376" w:rsidP="00BA7999">
      <w:pPr>
        <w:spacing w:line="300" w:lineRule="auto"/>
        <w:jc w:val="center"/>
        <w:rPr>
          <w:rFonts w:ascii="Cambria" w:eastAsia="Cambria" w:hAnsi="Cambria" w:cs="Cambria"/>
          <w:b/>
          <w:bCs/>
        </w:rPr>
      </w:pPr>
      <w:r w:rsidRPr="00BA7999">
        <w:rPr>
          <w:rFonts w:ascii="Cambria" w:eastAsia="Cambria" w:hAnsi="Cambria" w:cs="Cambria"/>
          <w:b/>
          <w:bCs/>
        </w:rPr>
        <w:t>REQUEST FOR EXPRESSIONS OF INTEREST (REOI)</w:t>
      </w:r>
    </w:p>
    <w:p w14:paraId="78DC875D" w14:textId="77777777" w:rsidR="00BA7999" w:rsidRPr="00BA7999" w:rsidRDefault="00BA7999" w:rsidP="00BA7999">
      <w:pPr>
        <w:jc w:val="center"/>
      </w:pPr>
      <w:r w:rsidRPr="00BA7999">
        <w:rPr>
          <w:b/>
          <w:bCs/>
        </w:rPr>
        <w:t>PR &amp; Media Relations Firm</w:t>
      </w:r>
    </w:p>
    <w:p w14:paraId="0D1850B2" w14:textId="686E58D5" w:rsidR="00BA7999" w:rsidRPr="00C8037D" w:rsidRDefault="00BA7999" w:rsidP="00BA7999">
      <w:pPr>
        <w:spacing w:line="300" w:lineRule="auto"/>
        <w:rPr>
          <w:sz w:val="18"/>
          <w:szCs w:val="18"/>
        </w:rPr>
      </w:pPr>
      <w:r w:rsidRPr="00C8037D">
        <w:rPr>
          <w:sz w:val="18"/>
          <w:szCs w:val="18"/>
        </w:rPr>
        <w:t>PK-MOE-571058-CS-CQS-PR-MEDIA</w:t>
      </w:r>
    </w:p>
    <w:p w14:paraId="5EC09F4D" w14:textId="77777777" w:rsidR="00BA7999" w:rsidRPr="00C8037D" w:rsidRDefault="00BA7999" w:rsidP="00BA7999">
      <w:pPr>
        <w:spacing w:line="300" w:lineRule="auto"/>
        <w:rPr>
          <w:sz w:val="18"/>
          <w:szCs w:val="18"/>
        </w:rPr>
      </w:pPr>
    </w:p>
    <w:p w14:paraId="17FE668D" w14:textId="77777777" w:rsidR="00A04C26" w:rsidRPr="00C8037D" w:rsidRDefault="00A04C26" w:rsidP="00A04C26">
      <w:pPr>
        <w:tabs>
          <w:tab w:val="left" w:pos="0"/>
        </w:tabs>
        <w:spacing w:after="200" w:line="300" w:lineRule="auto"/>
        <w:jc w:val="both"/>
        <w:rPr>
          <w:rFonts w:ascii="Cambria" w:eastAsia="Cambria" w:hAnsi="Cambria" w:cs="Cambria"/>
          <w:sz w:val="18"/>
          <w:szCs w:val="18"/>
        </w:rPr>
      </w:pPr>
      <w:r w:rsidRPr="00C8037D">
        <w:rPr>
          <w:rFonts w:ascii="Cambria" w:eastAsia="Cambria" w:hAnsi="Cambria" w:cs="Cambria"/>
          <w:sz w:val="18"/>
          <w:szCs w:val="18"/>
        </w:rPr>
        <w:t>The Ministry of Energy (Power Division) is implementing Electricity Distribution Efficiency Improvement Project (EDEIP) with financial assistance of the World Bank under IBRD:93180 aims to achieve affordable electricity, energy security, and sustainability.</w:t>
      </w:r>
    </w:p>
    <w:p w14:paraId="15B0EF84" w14:textId="6BFA3A4A" w:rsidR="00A04C26" w:rsidRPr="00C8037D" w:rsidRDefault="00A04C26" w:rsidP="00A04C26">
      <w:pPr>
        <w:tabs>
          <w:tab w:val="left" w:pos="0"/>
        </w:tabs>
        <w:spacing w:after="200" w:line="300" w:lineRule="auto"/>
        <w:jc w:val="both"/>
        <w:rPr>
          <w:rFonts w:ascii="Cambria" w:eastAsia="Cambria" w:hAnsi="Cambria" w:cs="Cambria"/>
          <w:sz w:val="18"/>
          <w:szCs w:val="18"/>
        </w:rPr>
      </w:pPr>
      <w:r w:rsidRPr="00C8037D">
        <w:rPr>
          <w:rFonts w:ascii="Cambria" w:eastAsia="Cambria" w:hAnsi="Cambria" w:cs="Cambria"/>
          <w:sz w:val="18"/>
          <w:szCs w:val="18"/>
        </w:rPr>
        <w:t>In this connection, PIU intends to hire the consultancy services (“Services”) for “</w:t>
      </w:r>
      <w:r w:rsidRPr="00C8037D">
        <w:rPr>
          <w:rFonts w:ascii="Cambria" w:eastAsia="Cambria" w:hAnsi="Cambria" w:cs="Cambria"/>
          <w:b/>
          <w:bCs/>
          <w:sz w:val="18"/>
          <w:szCs w:val="18"/>
        </w:rPr>
        <w:t xml:space="preserve">PR &amp; Media Relations” </w:t>
      </w:r>
      <w:r w:rsidRPr="00C8037D">
        <w:rPr>
          <w:rFonts w:ascii="Cambria" w:eastAsia="Cambria" w:hAnsi="Cambria" w:cs="Cambria"/>
          <w:sz w:val="18"/>
          <w:szCs w:val="18"/>
        </w:rPr>
        <w:t>to drive public awareness and ensure nationwide compliance for Power Subsidy Reform — National CNIC-to-Meter Linkage Campaign.</w:t>
      </w:r>
    </w:p>
    <w:p w14:paraId="0C34B619" w14:textId="3FE14896" w:rsidR="00A04C26" w:rsidRPr="00C8037D" w:rsidRDefault="00A04C26" w:rsidP="00A04C26">
      <w:pPr>
        <w:tabs>
          <w:tab w:val="left" w:pos="0"/>
        </w:tabs>
        <w:spacing w:after="200" w:line="300" w:lineRule="auto"/>
        <w:jc w:val="both"/>
        <w:rPr>
          <w:rFonts w:ascii="Cambria" w:eastAsia="Cambria" w:hAnsi="Cambria" w:cs="Cambria"/>
          <w:sz w:val="18"/>
          <w:szCs w:val="18"/>
        </w:rPr>
      </w:pPr>
      <w:r w:rsidRPr="00C8037D">
        <w:rPr>
          <w:rFonts w:ascii="Cambria" w:eastAsia="Cambria" w:hAnsi="Cambria" w:cs="Cambria"/>
          <w:sz w:val="18"/>
          <w:szCs w:val="18"/>
        </w:rPr>
        <w:t>Program Implementing Unit (PIU), Ministry of Energy (Power Division) invites EOI from interested/eligible consulting firms who should provide information demonstrating that they have the required qualifications and relevant experience to perform the “Services”.</w:t>
      </w:r>
    </w:p>
    <w:p w14:paraId="5CA7FDBF" w14:textId="103A00CD" w:rsidR="00687EC7" w:rsidRPr="00C8037D" w:rsidRDefault="00A04C26" w:rsidP="001E7D82">
      <w:pPr>
        <w:tabs>
          <w:tab w:val="left" w:pos="0"/>
        </w:tabs>
        <w:spacing w:after="200" w:line="300" w:lineRule="auto"/>
        <w:jc w:val="both"/>
        <w:rPr>
          <w:rFonts w:ascii="Cambria" w:eastAsia="Cambria" w:hAnsi="Cambria" w:cs="Cambria"/>
          <w:sz w:val="18"/>
          <w:szCs w:val="18"/>
        </w:rPr>
      </w:pPr>
      <w:r w:rsidRPr="00C8037D">
        <w:rPr>
          <w:rFonts w:ascii="Cambria" w:eastAsia="Cambria" w:hAnsi="Cambria" w:cs="Cambria"/>
          <w:sz w:val="18"/>
          <w:szCs w:val="18"/>
        </w:rPr>
        <w:t>Interested consultants will be expected to demonstrate or provide explicit information/ evidence of their qualification to perform this assignment, in their profiles, in the areas covered by the Terms of Reference. Interested consulting firms and consortia must provide information indicating that they are qualified to perform above services (e.g. brochures, description of similar assignments,); experience under similar conditions, availability of appropriate skill among staff etc</w:t>
      </w:r>
      <w:r w:rsidR="009E0AEC" w:rsidRPr="00C8037D">
        <w:rPr>
          <w:rFonts w:ascii="Cambria" w:eastAsia="Cambria" w:hAnsi="Cambria" w:cs="Cambria"/>
          <w:sz w:val="18"/>
          <w:szCs w:val="18"/>
        </w:rPr>
        <w:t xml:space="preserve">. The short listing criteria are i) </w:t>
      </w:r>
      <w:r w:rsidR="00BA7999" w:rsidRPr="00C8037D">
        <w:rPr>
          <w:rFonts w:ascii="Cambria" w:eastAsia="Cambria" w:hAnsi="Cambria" w:cs="Cambria"/>
          <w:sz w:val="18"/>
          <w:szCs w:val="18"/>
        </w:rPr>
        <w:t>a minimum ten (10) years' continuous documented experience in public relations, media relations, or communications</w:t>
      </w:r>
      <w:r w:rsidR="009E0AEC" w:rsidRPr="00C8037D">
        <w:rPr>
          <w:rFonts w:ascii="Cambria" w:eastAsia="Cambria" w:hAnsi="Cambria" w:cs="Cambria"/>
          <w:sz w:val="18"/>
          <w:szCs w:val="18"/>
        </w:rPr>
        <w:t xml:space="preserve">, ii) </w:t>
      </w:r>
      <w:r w:rsidR="00A3135E" w:rsidRPr="00C8037D">
        <w:rPr>
          <w:rFonts w:ascii="Cambria" w:eastAsia="Cambria" w:hAnsi="Cambria" w:cs="Cambria"/>
          <w:sz w:val="18"/>
          <w:szCs w:val="18"/>
        </w:rPr>
        <w:t xml:space="preserve">minimum </w:t>
      </w:r>
      <w:r w:rsidR="00BA7999" w:rsidRPr="00C8037D">
        <w:rPr>
          <w:rFonts w:ascii="Cambria" w:eastAsia="Cambria" w:hAnsi="Cambria" w:cs="Cambria"/>
          <w:sz w:val="18"/>
          <w:szCs w:val="18"/>
        </w:rPr>
        <w:t>three (3) large-scale PR campaigns in public or private sector— at least one nationwide and at least one targeting low-income/underserved populations</w:t>
      </w:r>
      <w:r w:rsidR="009E0AEC" w:rsidRPr="00C8037D">
        <w:rPr>
          <w:rFonts w:ascii="Cambria" w:eastAsia="Cambria" w:hAnsi="Cambria" w:cs="Cambria"/>
          <w:sz w:val="18"/>
          <w:szCs w:val="18"/>
        </w:rPr>
        <w:t xml:space="preserve">, iii) </w:t>
      </w:r>
      <w:r w:rsidR="00BA7999" w:rsidRPr="00C8037D">
        <w:rPr>
          <w:rFonts w:ascii="Cambria" w:eastAsia="Cambria" w:hAnsi="Cambria" w:cs="Cambria"/>
          <w:sz w:val="18"/>
          <w:szCs w:val="18"/>
        </w:rPr>
        <w:t>Demonstrated experience managing media monitoring across print, broadcast, and digital media in Pakistan</w:t>
      </w:r>
      <w:r w:rsidR="009E0AEC" w:rsidRPr="00C8037D">
        <w:rPr>
          <w:rFonts w:ascii="Cambria" w:eastAsia="Cambria" w:hAnsi="Cambria" w:cs="Cambria"/>
          <w:sz w:val="18"/>
          <w:szCs w:val="18"/>
        </w:rPr>
        <w:t xml:space="preserve">, iv) </w:t>
      </w:r>
      <w:r w:rsidR="00BA7999" w:rsidRPr="00C8037D">
        <w:rPr>
          <w:rFonts w:ascii="Cambria" w:eastAsia="Cambria" w:hAnsi="Cambria" w:cs="Cambria"/>
          <w:sz w:val="18"/>
          <w:szCs w:val="18"/>
        </w:rPr>
        <w:t>Demonstrated experience managing reactive media (rebuttals, crisis communications) for a government or large institutional client</w:t>
      </w:r>
      <w:r w:rsidR="00EA0376" w:rsidRPr="00C8037D">
        <w:rPr>
          <w:rFonts w:ascii="Cambria" w:eastAsia="Cambria" w:hAnsi="Cambria" w:cs="Cambria"/>
          <w:sz w:val="18"/>
          <w:szCs w:val="18"/>
        </w:rPr>
        <w:t>.</w:t>
      </w:r>
    </w:p>
    <w:p w14:paraId="278B5575" w14:textId="77777777" w:rsidR="0001633F" w:rsidRPr="0001633F" w:rsidRDefault="0001633F" w:rsidP="0001633F">
      <w:pPr>
        <w:rPr>
          <w:rFonts w:asciiTheme="majorHAnsi" w:hAnsiTheme="majorHAnsi" w:cstheme="majorHAnsi"/>
          <w:b/>
          <w:bCs/>
          <w:u w:val="single"/>
        </w:rPr>
      </w:pPr>
      <w:r w:rsidRPr="0001633F">
        <w:rPr>
          <w:rFonts w:asciiTheme="majorHAnsi" w:hAnsiTheme="majorHAnsi" w:cstheme="majorHAnsi"/>
          <w:b/>
          <w:bCs/>
          <w:u w:val="single"/>
        </w:rPr>
        <w:t xml:space="preserve">The detailed Terms of Reference (TOR) may be download from the website </w:t>
      </w:r>
      <w:hyperlink r:id="rId5" w:history="1">
        <w:r w:rsidRPr="0001633F">
          <w:rPr>
            <w:rStyle w:val="Hyperlink"/>
            <w:rFonts w:asciiTheme="majorHAnsi" w:hAnsiTheme="majorHAnsi" w:cstheme="majorHAnsi"/>
            <w:b/>
            <w:bCs/>
          </w:rPr>
          <w:t>www.power.gov.pk</w:t>
        </w:r>
      </w:hyperlink>
      <w:r w:rsidRPr="0001633F">
        <w:rPr>
          <w:rFonts w:asciiTheme="majorHAnsi" w:hAnsiTheme="majorHAnsi" w:cstheme="majorHAnsi"/>
          <w:b/>
          <w:bCs/>
          <w:u w:val="single"/>
        </w:rPr>
        <w:t xml:space="preserve"> </w:t>
      </w:r>
    </w:p>
    <w:p w14:paraId="3FA2AB61" w14:textId="77777777" w:rsidR="0001633F" w:rsidRDefault="0001633F" w:rsidP="0001633F">
      <w:pPr>
        <w:rPr>
          <w:rFonts w:asciiTheme="majorHAnsi" w:hAnsiTheme="majorHAnsi" w:cstheme="majorHAnsi"/>
          <w:b/>
          <w:bCs/>
          <w:u w:val="single"/>
        </w:rPr>
      </w:pPr>
    </w:p>
    <w:p w14:paraId="46C2FED9" w14:textId="7C5218B9" w:rsidR="00714671" w:rsidRPr="00C8037D" w:rsidRDefault="00714671" w:rsidP="00C702BD">
      <w:pPr>
        <w:tabs>
          <w:tab w:val="left" w:pos="0"/>
        </w:tabs>
        <w:spacing w:after="200" w:line="300" w:lineRule="auto"/>
        <w:jc w:val="both"/>
        <w:rPr>
          <w:rFonts w:ascii="Cambria" w:eastAsia="Cambria" w:hAnsi="Cambria" w:cs="Cambria"/>
          <w:sz w:val="18"/>
          <w:szCs w:val="18"/>
        </w:rPr>
      </w:pPr>
      <w:r w:rsidRPr="00C8037D">
        <w:rPr>
          <w:rFonts w:ascii="Cambria" w:eastAsia="Cambria" w:hAnsi="Cambria" w:cs="Cambria"/>
          <w:sz w:val="18"/>
          <w:szCs w:val="18"/>
        </w:rPr>
        <w:t>The attention of interested Consultants is drawn to paragraph 3.14, 3.16 and 3.17 of the World Bank’s Procurement Regulations for IPF Borrowers February, 2025 (“the Regulations”), setting forth the World Bank’s policy on conflict of interest.</w:t>
      </w:r>
    </w:p>
    <w:p w14:paraId="25B8052A" w14:textId="77777777" w:rsidR="008A72EE" w:rsidRPr="00C8037D" w:rsidRDefault="008A72EE" w:rsidP="008A72EE">
      <w:pPr>
        <w:tabs>
          <w:tab w:val="left" w:pos="0"/>
        </w:tabs>
        <w:spacing w:after="200" w:line="300" w:lineRule="auto"/>
        <w:jc w:val="both"/>
        <w:rPr>
          <w:rFonts w:ascii="Cambria" w:eastAsia="Cambria" w:hAnsi="Cambria" w:cs="Cambria"/>
          <w:sz w:val="18"/>
          <w:szCs w:val="18"/>
        </w:rPr>
      </w:pPr>
      <w:r w:rsidRPr="00C8037D">
        <w:rPr>
          <w:rFonts w:ascii="Cambria" w:eastAsia="Cambria" w:hAnsi="Cambria" w:cs="Cambria"/>
          <w:sz w:val="18"/>
          <w:szCs w:val="18"/>
        </w:rPr>
        <w:t>Consultant will be selected in accordance with Consultant Qualification Selection (CQS) method set out in the World Bank's Procurement Regulations. Further information can be obtained at the address below during office hours (0900 to 1700 hours).</w:t>
      </w:r>
    </w:p>
    <w:p w14:paraId="09B84B29" w14:textId="67EF70F9" w:rsidR="008A72EE" w:rsidRPr="00C8037D" w:rsidRDefault="008A72EE" w:rsidP="008A72EE">
      <w:pPr>
        <w:tabs>
          <w:tab w:val="left" w:pos="0"/>
        </w:tabs>
        <w:spacing w:after="200" w:line="300" w:lineRule="auto"/>
        <w:jc w:val="both"/>
        <w:rPr>
          <w:rFonts w:ascii="Cambria" w:eastAsia="Cambria" w:hAnsi="Cambria" w:cs="Cambria"/>
          <w:sz w:val="18"/>
          <w:szCs w:val="18"/>
        </w:rPr>
      </w:pPr>
      <w:r w:rsidRPr="00C8037D">
        <w:rPr>
          <w:rFonts w:ascii="Cambria" w:eastAsia="Cambria" w:hAnsi="Cambria" w:cs="Cambria"/>
          <w:sz w:val="18"/>
          <w:szCs w:val="18"/>
        </w:rPr>
        <w:t>Applications along with Expressions of Interest (</w:t>
      </w:r>
      <w:r w:rsidR="006D183B">
        <w:rPr>
          <w:rFonts w:ascii="Cambria" w:eastAsia="Cambria" w:hAnsi="Cambria" w:cs="Cambria"/>
          <w:sz w:val="18"/>
          <w:szCs w:val="18"/>
        </w:rPr>
        <w:t>2</w:t>
      </w:r>
      <w:r w:rsidRPr="00C8037D">
        <w:rPr>
          <w:rFonts w:ascii="Cambria" w:eastAsia="Cambria" w:hAnsi="Cambria" w:cs="Cambria"/>
          <w:sz w:val="18"/>
          <w:szCs w:val="18"/>
        </w:rPr>
        <w:t xml:space="preserve"> hard copies</w:t>
      </w:r>
      <w:r w:rsidR="006D183B">
        <w:rPr>
          <w:rFonts w:ascii="Cambria" w:eastAsia="Cambria" w:hAnsi="Cambria" w:cs="Cambria"/>
          <w:sz w:val="18"/>
          <w:szCs w:val="18"/>
        </w:rPr>
        <w:t xml:space="preserve"> &amp; 01 Soft copy in USB</w:t>
      </w:r>
      <w:r w:rsidRPr="00C8037D">
        <w:rPr>
          <w:rFonts w:ascii="Cambria" w:eastAsia="Cambria" w:hAnsi="Cambria" w:cs="Cambria"/>
          <w:sz w:val="18"/>
          <w:szCs w:val="18"/>
        </w:rPr>
        <w:t>) must be delivered in a written form to the address below (in person, Courier) by 03:00 PM (PST), September 17 ,2026 on or before.</w:t>
      </w:r>
    </w:p>
    <w:p w14:paraId="43A5D0D6" w14:textId="77777777" w:rsidR="008A72EE" w:rsidRPr="008A72EE" w:rsidRDefault="008A72EE" w:rsidP="008A72EE">
      <w:pPr>
        <w:spacing w:before="280" w:after="80"/>
        <w:rPr>
          <w:rFonts w:asciiTheme="majorHAnsi" w:hAnsiTheme="majorHAnsi" w:cstheme="majorHAnsi"/>
          <w:b/>
        </w:rPr>
      </w:pPr>
      <w:r w:rsidRPr="008A72EE">
        <w:rPr>
          <w:rFonts w:asciiTheme="majorHAnsi" w:hAnsiTheme="majorHAnsi" w:cstheme="majorHAnsi"/>
          <w:b/>
        </w:rPr>
        <w:t>Submission Address &amp; Contact Details:</w:t>
      </w:r>
    </w:p>
    <w:tbl>
      <w:tblPr>
        <w:tblW w:w="0" w:type="auto"/>
        <w:tblInd w:w="-15" w:type="dxa"/>
        <w:tblLook w:val="04A0" w:firstRow="1" w:lastRow="0" w:firstColumn="1" w:lastColumn="0" w:noHBand="0" w:noVBand="1"/>
      </w:tblPr>
      <w:tblGrid>
        <w:gridCol w:w="8898"/>
      </w:tblGrid>
      <w:tr w:rsidR="008A72EE" w:rsidRPr="00B65A32" w14:paraId="05B354D0" w14:textId="77777777" w:rsidTr="00C8037D">
        <w:trPr>
          <w:trHeight w:val="1334"/>
        </w:trPr>
        <w:tc>
          <w:tcPr>
            <w:tcW w:w="8898" w:type="dxa"/>
            <w:tcBorders>
              <w:top w:val="single" w:sz="6" w:space="0" w:color="1B365D"/>
              <w:left w:val="single" w:sz="12" w:space="0" w:color="1B365D"/>
              <w:bottom w:val="single" w:sz="6" w:space="0" w:color="1B365D"/>
              <w:right w:val="single" w:sz="6" w:space="0" w:color="1B365D"/>
            </w:tcBorders>
            <w:shd w:val="clear" w:color="auto" w:fill="F0F4F8"/>
            <w:tcMar>
              <w:top w:w="140" w:type="dxa"/>
              <w:left w:w="180" w:type="dxa"/>
              <w:bottom w:w="140" w:type="dxa"/>
              <w:right w:w="180" w:type="dxa"/>
            </w:tcMar>
          </w:tcPr>
          <w:p w14:paraId="4B497E47" w14:textId="77777777" w:rsidR="008A72EE" w:rsidRPr="00B65A32" w:rsidRDefault="008A72EE" w:rsidP="00FE3756">
            <w:pPr>
              <w:pStyle w:val="BodyText"/>
              <w:spacing w:after="0" w:line="240" w:lineRule="auto"/>
              <w:rPr>
                <w:rFonts w:asciiTheme="majorHAnsi" w:hAnsiTheme="majorHAnsi" w:cstheme="majorHAnsi"/>
                <w:color w:val="auto"/>
              </w:rPr>
            </w:pPr>
            <w:r w:rsidRPr="00B65A32">
              <w:rPr>
                <w:rFonts w:asciiTheme="majorHAnsi" w:hAnsiTheme="majorHAnsi" w:cstheme="majorHAnsi"/>
                <w:b/>
                <w:color w:val="auto"/>
              </w:rPr>
              <w:t xml:space="preserve">Attention: </w:t>
            </w:r>
            <w:r w:rsidRPr="00B65A32">
              <w:rPr>
                <w:rFonts w:asciiTheme="majorHAnsi" w:hAnsiTheme="majorHAnsi" w:cstheme="majorHAnsi"/>
                <w:color w:val="auto"/>
              </w:rPr>
              <w:t>Program</w:t>
            </w:r>
            <w:r w:rsidRPr="00B65A32">
              <w:rPr>
                <w:rFonts w:asciiTheme="majorHAnsi" w:hAnsiTheme="majorHAnsi" w:cstheme="majorHAnsi"/>
                <w:color w:val="auto"/>
                <w:spacing w:val="-14"/>
              </w:rPr>
              <w:t xml:space="preserve"> </w:t>
            </w:r>
            <w:r w:rsidRPr="00B65A32">
              <w:rPr>
                <w:rFonts w:asciiTheme="majorHAnsi" w:hAnsiTheme="majorHAnsi" w:cstheme="majorHAnsi"/>
                <w:color w:val="auto"/>
              </w:rPr>
              <w:t>Director,</w:t>
            </w:r>
            <w:r w:rsidRPr="00B65A32">
              <w:rPr>
                <w:rFonts w:asciiTheme="majorHAnsi" w:hAnsiTheme="majorHAnsi" w:cstheme="majorHAnsi"/>
                <w:color w:val="auto"/>
                <w:spacing w:val="-12"/>
              </w:rPr>
              <w:t xml:space="preserve"> </w:t>
            </w:r>
            <w:r w:rsidRPr="00B65A32">
              <w:rPr>
                <w:rFonts w:asciiTheme="majorHAnsi" w:hAnsiTheme="majorHAnsi" w:cstheme="majorHAnsi"/>
                <w:color w:val="auto"/>
              </w:rPr>
              <w:t>PIU-EDEIP</w:t>
            </w:r>
            <w:r w:rsidRPr="00B65A32">
              <w:rPr>
                <w:rFonts w:asciiTheme="majorHAnsi" w:hAnsiTheme="majorHAnsi" w:cstheme="majorHAnsi"/>
                <w:color w:val="auto"/>
                <w:spacing w:val="-15"/>
              </w:rPr>
              <w:t xml:space="preserve"> </w:t>
            </w:r>
            <w:r w:rsidRPr="00B65A32">
              <w:rPr>
                <w:rFonts w:asciiTheme="majorHAnsi" w:hAnsiTheme="majorHAnsi" w:cstheme="majorHAnsi"/>
                <w:color w:val="auto"/>
              </w:rPr>
              <w:t>Project</w:t>
            </w:r>
            <w:r w:rsidRPr="00B65A32">
              <w:rPr>
                <w:rFonts w:asciiTheme="majorHAnsi" w:hAnsiTheme="majorHAnsi" w:cstheme="majorHAnsi"/>
                <w:color w:val="auto"/>
                <w:spacing w:val="-11"/>
              </w:rPr>
              <w:t xml:space="preserve"> </w:t>
            </w:r>
            <w:r w:rsidRPr="00B65A32">
              <w:rPr>
                <w:rFonts w:asciiTheme="majorHAnsi" w:hAnsiTheme="majorHAnsi" w:cstheme="majorHAnsi"/>
                <w:color w:val="auto"/>
              </w:rPr>
              <w:t>(Component-</w:t>
            </w:r>
            <w:r w:rsidRPr="00B65A32">
              <w:rPr>
                <w:rFonts w:asciiTheme="majorHAnsi" w:hAnsiTheme="majorHAnsi" w:cstheme="majorHAnsi"/>
                <w:color w:val="auto"/>
                <w:spacing w:val="-5"/>
              </w:rPr>
              <w:t>IV)</w:t>
            </w:r>
          </w:p>
          <w:p w14:paraId="5D7E5025" w14:textId="77777777" w:rsidR="008A72EE" w:rsidRPr="00B65A32" w:rsidRDefault="008A72EE" w:rsidP="00FE3756">
            <w:pPr>
              <w:pStyle w:val="BodyText"/>
              <w:tabs>
                <w:tab w:val="left" w:pos="2660"/>
              </w:tabs>
              <w:spacing w:after="0" w:line="240" w:lineRule="auto"/>
              <w:ind w:left="990" w:right="-61" w:hanging="990"/>
              <w:rPr>
                <w:rFonts w:asciiTheme="majorHAnsi" w:hAnsiTheme="majorHAnsi" w:cstheme="majorHAnsi"/>
                <w:color w:val="auto"/>
              </w:rPr>
            </w:pPr>
            <w:r w:rsidRPr="00B65A32">
              <w:rPr>
                <w:rFonts w:asciiTheme="majorHAnsi" w:hAnsiTheme="majorHAnsi" w:cstheme="majorHAnsi"/>
                <w:b/>
                <w:color w:val="auto"/>
                <w:spacing w:val="-2"/>
              </w:rPr>
              <w:t>Address</w:t>
            </w:r>
            <w:r w:rsidRPr="00B65A32">
              <w:rPr>
                <w:rFonts w:asciiTheme="majorHAnsi" w:hAnsiTheme="majorHAnsi" w:cstheme="majorHAnsi"/>
                <w:color w:val="auto"/>
                <w:spacing w:val="-2"/>
              </w:rPr>
              <w:t xml:space="preserve">: </w:t>
            </w:r>
            <w:r w:rsidRPr="00B65A32">
              <w:rPr>
                <w:rFonts w:asciiTheme="majorHAnsi" w:hAnsiTheme="majorHAnsi" w:cstheme="majorHAnsi"/>
                <w:color w:val="auto"/>
              </w:rPr>
              <w:t>Evacuee</w:t>
            </w:r>
            <w:r w:rsidRPr="00B65A32">
              <w:rPr>
                <w:rFonts w:asciiTheme="majorHAnsi" w:hAnsiTheme="majorHAnsi" w:cstheme="majorHAnsi"/>
                <w:color w:val="auto"/>
                <w:spacing w:val="-9"/>
              </w:rPr>
              <w:t xml:space="preserve"> </w:t>
            </w:r>
            <w:r w:rsidRPr="00B65A32">
              <w:rPr>
                <w:rFonts w:asciiTheme="majorHAnsi" w:hAnsiTheme="majorHAnsi" w:cstheme="majorHAnsi"/>
                <w:color w:val="auto"/>
              </w:rPr>
              <w:t>Trust</w:t>
            </w:r>
            <w:r w:rsidRPr="00B65A32">
              <w:rPr>
                <w:rFonts w:asciiTheme="majorHAnsi" w:hAnsiTheme="majorHAnsi" w:cstheme="majorHAnsi"/>
                <w:color w:val="auto"/>
                <w:spacing w:val="-9"/>
              </w:rPr>
              <w:t xml:space="preserve"> </w:t>
            </w:r>
            <w:r w:rsidRPr="00B65A32">
              <w:rPr>
                <w:rFonts w:asciiTheme="majorHAnsi" w:hAnsiTheme="majorHAnsi" w:cstheme="majorHAnsi"/>
                <w:color w:val="auto"/>
              </w:rPr>
              <w:t>Complex</w:t>
            </w:r>
            <w:r w:rsidRPr="00B65A32">
              <w:rPr>
                <w:rFonts w:asciiTheme="majorHAnsi" w:hAnsiTheme="majorHAnsi" w:cstheme="majorHAnsi"/>
                <w:color w:val="auto"/>
                <w:spacing w:val="-10"/>
              </w:rPr>
              <w:t xml:space="preserve"> </w:t>
            </w:r>
            <w:r w:rsidRPr="00B65A32">
              <w:rPr>
                <w:rFonts w:asciiTheme="majorHAnsi" w:hAnsiTheme="majorHAnsi" w:cstheme="majorHAnsi"/>
                <w:color w:val="auto"/>
              </w:rPr>
              <w:t>Building,</w:t>
            </w:r>
            <w:r w:rsidRPr="00B65A32">
              <w:rPr>
                <w:rFonts w:asciiTheme="majorHAnsi" w:hAnsiTheme="majorHAnsi" w:cstheme="majorHAnsi"/>
                <w:color w:val="auto"/>
                <w:spacing w:val="-10"/>
              </w:rPr>
              <w:t xml:space="preserve"> </w:t>
            </w:r>
            <w:r w:rsidRPr="00B65A32">
              <w:rPr>
                <w:rFonts w:asciiTheme="majorHAnsi" w:hAnsiTheme="majorHAnsi" w:cstheme="majorHAnsi"/>
                <w:color w:val="auto"/>
              </w:rPr>
              <w:t>1st</w:t>
            </w:r>
            <w:r w:rsidRPr="00B65A32">
              <w:rPr>
                <w:rFonts w:asciiTheme="majorHAnsi" w:hAnsiTheme="majorHAnsi" w:cstheme="majorHAnsi"/>
                <w:color w:val="auto"/>
                <w:spacing w:val="-9"/>
              </w:rPr>
              <w:t xml:space="preserve"> </w:t>
            </w:r>
            <w:r w:rsidRPr="00B65A32">
              <w:rPr>
                <w:rFonts w:asciiTheme="majorHAnsi" w:hAnsiTheme="majorHAnsi" w:cstheme="majorHAnsi"/>
                <w:color w:val="auto"/>
              </w:rPr>
              <w:t>Floor,</w:t>
            </w:r>
            <w:r w:rsidRPr="00B65A32">
              <w:rPr>
                <w:rFonts w:asciiTheme="majorHAnsi" w:hAnsiTheme="majorHAnsi" w:cstheme="majorHAnsi"/>
                <w:color w:val="auto"/>
                <w:spacing w:val="-11"/>
              </w:rPr>
              <w:t xml:space="preserve"> </w:t>
            </w:r>
            <w:r w:rsidRPr="00B65A32">
              <w:rPr>
                <w:rFonts w:asciiTheme="majorHAnsi" w:hAnsiTheme="majorHAnsi" w:cstheme="majorHAnsi"/>
                <w:color w:val="auto"/>
              </w:rPr>
              <w:t>Office</w:t>
            </w:r>
            <w:r w:rsidRPr="00B65A32">
              <w:rPr>
                <w:rFonts w:asciiTheme="majorHAnsi" w:hAnsiTheme="majorHAnsi" w:cstheme="majorHAnsi"/>
                <w:color w:val="auto"/>
                <w:spacing w:val="-10"/>
              </w:rPr>
              <w:t xml:space="preserve"> </w:t>
            </w:r>
            <w:r w:rsidRPr="00B65A32">
              <w:rPr>
                <w:rFonts w:asciiTheme="majorHAnsi" w:hAnsiTheme="majorHAnsi" w:cstheme="majorHAnsi"/>
                <w:color w:val="auto"/>
              </w:rPr>
              <w:t>No.</w:t>
            </w:r>
            <w:r w:rsidRPr="00B65A32">
              <w:rPr>
                <w:rFonts w:asciiTheme="majorHAnsi" w:hAnsiTheme="majorHAnsi" w:cstheme="majorHAnsi"/>
                <w:color w:val="auto"/>
                <w:spacing w:val="-9"/>
              </w:rPr>
              <w:t xml:space="preserve"> </w:t>
            </w:r>
            <w:r w:rsidRPr="00B65A32">
              <w:rPr>
                <w:rFonts w:asciiTheme="majorHAnsi" w:hAnsiTheme="majorHAnsi" w:cstheme="majorHAnsi"/>
                <w:color w:val="auto"/>
              </w:rPr>
              <w:t>112,</w:t>
            </w:r>
            <w:r w:rsidRPr="00B65A32">
              <w:rPr>
                <w:rFonts w:asciiTheme="majorHAnsi" w:hAnsiTheme="majorHAnsi" w:cstheme="majorHAnsi"/>
                <w:color w:val="auto"/>
                <w:spacing w:val="-5"/>
              </w:rPr>
              <w:t xml:space="preserve"> </w:t>
            </w:r>
            <w:r w:rsidRPr="00B65A32">
              <w:rPr>
                <w:rFonts w:asciiTheme="majorHAnsi" w:hAnsiTheme="majorHAnsi" w:cstheme="majorHAnsi"/>
                <w:color w:val="auto"/>
              </w:rPr>
              <w:t>Agha</w:t>
            </w:r>
            <w:r w:rsidRPr="00B65A32">
              <w:rPr>
                <w:rFonts w:asciiTheme="majorHAnsi" w:hAnsiTheme="majorHAnsi" w:cstheme="majorHAnsi"/>
                <w:color w:val="auto"/>
                <w:spacing w:val="-5"/>
              </w:rPr>
              <w:t xml:space="preserve"> </w:t>
            </w:r>
            <w:r w:rsidRPr="00B65A32">
              <w:rPr>
                <w:rFonts w:asciiTheme="majorHAnsi" w:hAnsiTheme="majorHAnsi" w:cstheme="majorHAnsi"/>
                <w:color w:val="auto"/>
              </w:rPr>
              <w:t>Khan Road, F-5/1, Islamabad.</w:t>
            </w:r>
          </w:p>
          <w:p w14:paraId="51D579ED" w14:textId="77058120" w:rsidR="008A72EE" w:rsidRPr="00B65A32" w:rsidRDefault="008A72EE" w:rsidP="00FE3756">
            <w:pPr>
              <w:rPr>
                <w:rFonts w:asciiTheme="majorHAnsi" w:hAnsiTheme="majorHAnsi" w:cstheme="majorHAnsi"/>
              </w:rPr>
            </w:pPr>
            <w:r w:rsidRPr="00B65A32">
              <w:rPr>
                <w:rFonts w:asciiTheme="majorHAnsi" w:hAnsiTheme="majorHAnsi" w:cstheme="majorHAnsi"/>
                <w:b/>
              </w:rPr>
              <w:t xml:space="preserve">Email: </w:t>
            </w:r>
            <w:r w:rsidRPr="00B65A32">
              <w:rPr>
                <w:rFonts w:asciiTheme="majorHAnsi" w:hAnsiTheme="majorHAnsi" w:cstheme="majorHAnsi"/>
              </w:rPr>
              <w:t xml:space="preserve">_ </w:t>
            </w:r>
            <w:hyperlink r:id="rId6" w:history="1">
              <w:r w:rsidRPr="00083489">
                <w:rPr>
                  <w:rStyle w:val="Hyperlink"/>
                  <w:rFonts w:ascii="Cambria" w:eastAsia="Cambria" w:hAnsi="Cambria" w:cs="Cambria"/>
                  <w:sz w:val="22"/>
                  <w:szCs w:val="22"/>
                </w:rPr>
                <w:t>danis6pk@gmail.com</w:t>
              </w:r>
            </w:hyperlink>
            <w:r w:rsidRPr="00B65A32">
              <w:rPr>
                <w:rFonts w:asciiTheme="majorHAnsi" w:hAnsiTheme="majorHAnsi" w:cstheme="majorHAnsi"/>
              </w:rPr>
              <w:t xml:space="preserve"> </w:t>
            </w:r>
            <w:r w:rsidRPr="00B65A32">
              <w:rPr>
                <w:rFonts w:asciiTheme="majorHAnsi" w:hAnsiTheme="majorHAnsi" w:cstheme="majorHAnsi"/>
                <w:b/>
              </w:rPr>
              <w:t>Ph:</w:t>
            </w:r>
            <w:r w:rsidRPr="00B65A32">
              <w:rPr>
                <w:rFonts w:asciiTheme="majorHAnsi" w:hAnsiTheme="majorHAnsi" w:cstheme="majorHAnsi"/>
              </w:rPr>
              <w:t>051 9211302 (164).</w:t>
            </w:r>
          </w:p>
        </w:tc>
      </w:tr>
    </w:tbl>
    <w:p w14:paraId="0A03D326" w14:textId="29379D5D" w:rsidR="00687EC7" w:rsidRDefault="00687EC7">
      <w:pPr>
        <w:spacing w:after="20" w:line="300" w:lineRule="auto"/>
      </w:pPr>
    </w:p>
    <w:sectPr w:rsidR="00687EC7" w:rsidSect="00101B19">
      <w:pgSz w:w="12240" w:h="15840"/>
      <w:pgMar w:top="720" w:right="1440" w:bottom="63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9E2EC6"/>
    <w:multiLevelType w:val="hybridMultilevel"/>
    <w:tmpl w:val="41BAD550"/>
    <w:lvl w:ilvl="0" w:tplc="DE3C30D8">
      <w:start w:val="1"/>
      <w:numFmt w:val="bullet"/>
      <w:lvlText w:val="●"/>
      <w:lvlJc w:val="left"/>
      <w:pPr>
        <w:ind w:left="720" w:hanging="360"/>
      </w:pPr>
    </w:lvl>
    <w:lvl w:ilvl="1" w:tplc="20FCB630">
      <w:start w:val="1"/>
      <w:numFmt w:val="bullet"/>
      <w:lvlText w:val="○"/>
      <w:lvlJc w:val="left"/>
      <w:pPr>
        <w:ind w:left="1440" w:hanging="360"/>
      </w:pPr>
    </w:lvl>
    <w:lvl w:ilvl="2" w:tplc="D43C7D72">
      <w:start w:val="1"/>
      <w:numFmt w:val="bullet"/>
      <w:lvlText w:val="■"/>
      <w:lvlJc w:val="left"/>
      <w:pPr>
        <w:ind w:left="2160" w:hanging="360"/>
      </w:pPr>
    </w:lvl>
    <w:lvl w:ilvl="3" w:tplc="1BE44AF0">
      <w:start w:val="1"/>
      <w:numFmt w:val="bullet"/>
      <w:lvlText w:val="●"/>
      <w:lvlJc w:val="left"/>
      <w:pPr>
        <w:ind w:left="2880" w:hanging="360"/>
      </w:pPr>
    </w:lvl>
    <w:lvl w:ilvl="4" w:tplc="4006791A">
      <w:start w:val="1"/>
      <w:numFmt w:val="bullet"/>
      <w:lvlText w:val="○"/>
      <w:lvlJc w:val="left"/>
      <w:pPr>
        <w:ind w:left="3600" w:hanging="360"/>
      </w:pPr>
    </w:lvl>
    <w:lvl w:ilvl="5" w:tplc="59DCDA9E">
      <w:start w:val="1"/>
      <w:numFmt w:val="bullet"/>
      <w:lvlText w:val="■"/>
      <w:lvlJc w:val="left"/>
      <w:pPr>
        <w:ind w:left="4320" w:hanging="360"/>
      </w:pPr>
    </w:lvl>
    <w:lvl w:ilvl="6" w:tplc="81123586">
      <w:start w:val="1"/>
      <w:numFmt w:val="bullet"/>
      <w:lvlText w:val="●"/>
      <w:lvlJc w:val="left"/>
      <w:pPr>
        <w:ind w:left="5040" w:hanging="360"/>
      </w:pPr>
    </w:lvl>
    <w:lvl w:ilvl="7" w:tplc="E1727846">
      <w:start w:val="1"/>
      <w:numFmt w:val="bullet"/>
      <w:lvlText w:val="●"/>
      <w:lvlJc w:val="left"/>
      <w:pPr>
        <w:ind w:left="5760" w:hanging="360"/>
      </w:pPr>
    </w:lvl>
    <w:lvl w:ilvl="8" w:tplc="934424FC">
      <w:start w:val="1"/>
      <w:numFmt w:val="bullet"/>
      <w:lvlText w:val="●"/>
      <w:lvlJc w:val="left"/>
      <w:pPr>
        <w:ind w:left="6480" w:hanging="360"/>
      </w:pPr>
    </w:lvl>
  </w:abstractNum>
  <w:num w:numId="1" w16cid:durableId="14815736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EC7"/>
    <w:rsid w:val="0001633F"/>
    <w:rsid w:val="000B4058"/>
    <w:rsid w:val="00101B19"/>
    <w:rsid w:val="001D2C6B"/>
    <w:rsid w:val="001E7D82"/>
    <w:rsid w:val="002907B2"/>
    <w:rsid w:val="005A6077"/>
    <w:rsid w:val="006265D7"/>
    <w:rsid w:val="00687EC7"/>
    <w:rsid w:val="006D183B"/>
    <w:rsid w:val="00714671"/>
    <w:rsid w:val="0074721B"/>
    <w:rsid w:val="00792377"/>
    <w:rsid w:val="007A6BA7"/>
    <w:rsid w:val="008A43FA"/>
    <w:rsid w:val="008A72EE"/>
    <w:rsid w:val="009E0AEC"/>
    <w:rsid w:val="009E7448"/>
    <w:rsid w:val="009F40F1"/>
    <w:rsid w:val="00A04C26"/>
    <w:rsid w:val="00A3135E"/>
    <w:rsid w:val="00B8410B"/>
    <w:rsid w:val="00BA7999"/>
    <w:rsid w:val="00C25A90"/>
    <w:rsid w:val="00C702BD"/>
    <w:rsid w:val="00C8037D"/>
    <w:rsid w:val="00CA2BDF"/>
    <w:rsid w:val="00D62FEC"/>
    <w:rsid w:val="00DD3E34"/>
    <w:rsid w:val="00E854DF"/>
    <w:rsid w:val="00EA0376"/>
    <w:rsid w:val="00EB7F2F"/>
    <w:rsid w:val="00ED5D03"/>
    <w:rsid w:val="00F8398D"/>
    <w:rsid w:val="00FD54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CB43"/>
  <w15:docId w15:val="{E91D3A89-EAFD-4FEE-94A8-03E82BE2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B8410B"/>
    <w:rPr>
      <w:color w:val="605E5C"/>
      <w:shd w:val="clear" w:color="auto" w:fill="E1DFDD"/>
    </w:rPr>
  </w:style>
  <w:style w:type="paragraph" w:styleId="BodyText">
    <w:name w:val="Body Text"/>
    <w:basedOn w:val="Normal"/>
    <w:link w:val="BodyTextChar"/>
    <w:uiPriority w:val="99"/>
    <w:unhideWhenUsed/>
    <w:rsid w:val="008A72EE"/>
    <w:pPr>
      <w:spacing w:after="120" w:line="276" w:lineRule="auto"/>
    </w:pPr>
    <w:rPr>
      <w:rFonts w:ascii="Calibri" w:eastAsiaTheme="minorEastAsia" w:hAnsi="Calibri" w:cstheme="minorBidi"/>
      <w:color w:val="333333"/>
      <w:sz w:val="22"/>
      <w:szCs w:val="22"/>
    </w:rPr>
  </w:style>
  <w:style w:type="character" w:customStyle="1" w:styleId="BodyTextChar">
    <w:name w:val="Body Text Char"/>
    <w:basedOn w:val="DefaultParagraphFont"/>
    <w:link w:val="BodyText"/>
    <w:uiPriority w:val="99"/>
    <w:rsid w:val="008A72EE"/>
    <w:rPr>
      <w:rFonts w:ascii="Calibri" w:eastAsiaTheme="minorEastAsia" w:hAnsi="Calibri" w:cstheme="minorBidi"/>
      <w:color w:val="33333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is6pk@gmail.com" TargetMode="External"/><Relationship Id="rId5" Type="http://schemas.openxmlformats.org/officeDocument/2006/relationships/hyperlink" Target="http://www.power.gov.p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39</cp:revision>
  <cp:lastPrinted>2026-09-02T06:20:00Z</cp:lastPrinted>
  <dcterms:created xsi:type="dcterms:W3CDTF">2026-09-01T05:34:00Z</dcterms:created>
  <dcterms:modified xsi:type="dcterms:W3CDTF">2026-09-02T06:52:00Z</dcterms:modified>
</cp:coreProperties>
</file>